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5981" w14:textId="5BCDEF70" w:rsidR="00034FA8" w:rsidRDefault="00034FA8" w:rsidP="000D44A0">
      <w:pPr>
        <w:shd w:val="clear" w:color="auto" w:fill="FFFFFF"/>
        <w:jc w:val="center"/>
        <w:textAlignment w:val="baseline"/>
        <w:rPr>
          <w:color w:val="45505E"/>
          <w:sz w:val="24"/>
          <w:szCs w:val="24"/>
        </w:rPr>
      </w:pPr>
      <w:r w:rsidRPr="006C76E2">
        <w:rPr>
          <w:rFonts w:ascii="Arial" w:hAnsi="Arial" w:cs="Arial"/>
          <w:noProof/>
        </w:rPr>
        <w:drawing>
          <wp:inline distT="0" distB="0" distL="0" distR="0" wp14:anchorId="765ECFE6" wp14:editId="2E5A96E7">
            <wp:extent cx="1333500" cy="11658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74B5" w14:textId="2F3A8335" w:rsidR="00034FA8" w:rsidRPr="000D44A0" w:rsidRDefault="00034FA8" w:rsidP="000D44A0">
      <w:pPr>
        <w:shd w:val="clear" w:color="auto" w:fill="FFFFFF"/>
        <w:jc w:val="center"/>
        <w:textAlignment w:val="baseline"/>
        <w:rPr>
          <w:b/>
          <w:bCs/>
          <w:color w:val="45505E"/>
          <w:sz w:val="28"/>
          <w:szCs w:val="28"/>
        </w:rPr>
      </w:pPr>
      <w:r w:rsidRPr="000D44A0">
        <w:rPr>
          <w:rFonts w:ascii="Arial" w:hAnsi="Arial" w:cs="Arial"/>
          <w:b/>
          <w:bCs/>
          <w:color w:val="FF0000"/>
          <w:sz w:val="40"/>
          <w:szCs w:val="40"/>
        </w:rPr>
        <w:t>FAHCS Virtual Conference</w:t>
      </w:r>
      <w:r w:rsidRPr="000D44A0">
        <w:rPr>
          <w:rFonts w:ascii="Arial" w:hAnsi="Arial" w:cs="Arial"/>
          <w:b/>
          <w:bCs/>
          <w:noProof/>
          <w:sz w:val="40"/>
          <w:szCs w:val="40"/>
        </w:rPr>
        <w:br/>
      </w:r>
      <w:r w:rsidRPr="000D44A0">
        <w:rPr>
          <w:rFonts w:ascii="Arial" w:hAnsi="Arial" w:cs="Arial"/>
          <w:b/>
          <w:bCs/>
          <w:noProof/>
          <w:sz w:val="32"/>
          <w:szCs w:val="32"/>
        </w:rPr>
        <w:t xml:space="preserve">January 11-12, 2021- </w:t>
      </w:r>
      <w:r w:rsidRPr="000D44A0">
        <w:rPr>
          <w:rFonts w:ascii="Arial" w:hAnsi="Arial" w:cs="Arial"/>
          <w:b/>
          <w:bCs/>
          <w:noProof/>
          <w:sz w:val="32"/>
          <w:szCs w:val="32"/>
        </w:rPr>
        <w:t>CEU On-Demand</w:t>
      </w:r>
      <w:r w:rsidRPr="000D44A0">
        <w:rPr>
          <w:rFonts w:ascii="Arial" w:hAnsi="Arial" w:cs="Arial"/>
          <w:b/>
          <w:bCs/>
          <w:noProof/>
          <w:sz w:val="32"/>
          <w:szCs w:val="32"/>
        </w:rPr>
        <w:t xml:space="preserve"> Sessions</w:t>
      </w:r>
      <w:r w:rsidR="00B31503" w:rsidRPr="000D44A0">
        <w:rPr>
          <w:rFonts w:ascii="Arial" w:hAnsi="Arial" w:cs="Arial"/>
          <w:b/>
          <w:bCs/>
          <w:noProof/>
          <w:sz w:val="32"/>
          <w:szCs w:val="32"/>
        </w:rPr>
        <w:br/>
      </w:r>
      <w:r w:rsidR="00B31503" w:rsidRPr="000D44A0">
        <w:rPr>
          <w:rFonts w:ascii="Arial" w:hAnsi="Arial" w:cs="Arial"/>
          <w:b/>
          <w:bCs/>
          <w:noProof/>
          <w:sz w:val="28"/>
          <w:szCs w:val="28"/>
        </w:rPr>
        <w:t>$129 per person* (member); $179 per person (non-members)</w:t>
      </w:r>
    </w:p>
    <w:p w14:paraId="10035870" w14:textId="71644844" w:rsidR="00AD5116" w:rsidRPr="00CE1214" w:rsidRDefault="00AD5116" w:rsidP="00AD511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E1214">
        <w:rPr>
          <w:rFonts w:ascii="Arial" w:hAnsi="Arial" w:cs="Arial"/>
          <w:color w:val="000000"/>
          <w:sz w:val="20"/>
          <w:szCs w:val="20"/>
        </w:rPr>
        <w:t>In addition to the</w:t>
      </w:r>
      <w:r w:rsidR="00A66FA7" w:rsidRPr="00CE1214">
        <w:rPr>
          <w:rFonts w:ascii="Arial" w:hAnsi="Arial" w:cs="Arial"/>
          <w:color w:val="000000"/>
          <w:sz w:val="20"/>
          <w:szCs w:val="20"/>
        </w:rPr>
        <w:t xml:space="preserve"> </w:t>
      </w:r>
      <w:r w:rsidR="00B31503" w:rsidRPr="00CE1214">
        <w:rPr>
          <w:rFonts w:ascii="Arial" w:hAnsi="Arial" w:cs="Arial"/>
          <w:color w:val="000000"/>
          <w:sz w:val="20"/>
          <w:szCs w:val="20"/>
        </w:rPr>
        <w:t xml:space="preserve">LIVE presentations </w:t>
      </w:r>
      <w:r w:rsidRPr="00CE1214">
        <w:rPr>
          <w:rFonts w:ascii="Arial" w:hAnsi="Arial" w:cs="Arial"/>
          <w:color w:val="000000"/>
          <w:sz w:val="20"/>
          <w:szCs w:val="20"/>
        </w:rPr>
        <w:t xml:space="preserve">with discussion time included for your questions, the annual meeting will also provide access for </w:t>
      </w:r>
      <w:r w:rsidR="00B31503" w:rsidRPr="00CE1214">
        <w:rPr>
          <w:rFonts w:ascii="Arial" w:hAnsi="Arial" w:cs="Arial"/>
          <w:color w:val="000000"/>
          <w:sz w:val="20"/>
          <w:szCs w:val="20"/>
        </w:rPr>
        <w:t>ONE MONTH</w:t>
      </w:r>
      <w:r w:rsidRPr="00CE1214">
        <w:rPr>
          <w:rFonts w:ascii="Arial" w:hAnsi="Arial" w:cs="Arial"/>
          <w:color w:val="000000"/>
          <w:sz w:val="20"/>
          <w:szCs w:val="20"/>
        </w:rPr>
        <w:t xml:space="preserve"> to a variety of courses on four tracks</w:t>
      </w:r>
      <w:r w:rsidR="00B31503" w:rsidRPr="00CE1214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902FC" w:rsidRPr="00CE1214">
        <w:rPr>
          <w:rFonts w:ascii="Arial" w:hAnsi="Arial" w:cs="Arial"/>
          <w:color w:val="000000"/>
          <w:sz w:val="20"/>
          <w:szCs w:val="20"/>
        </w:rPr>
        <w:t xml:space="preserve">see </w:t>
      </w:r>
      <w:r w:rsidR="00B31503" w:rsidRPr="00CE1214">
        <w:rPr>
          <w:rFonts w:ascii="Arial" w:hAnsi="Arial" w:cs="Arial"/>
          <w:color w:val="000000"/>
          <w:sz w:val="20"/>
          <w:szCs w:val="20"/>
        </w:rPr>
        <w:t>selections below</w:t>
      </w:r>
      <w:r w:rsidR="007902FC" w:rsidRPr="00CE1214">
        <w:rPr>
          <w:rFonts w:ascii="Arial" w:hAnsi="Arial" w:cs="Arial"/>
          <w:color w:val="000000"/>
          <w:sz w:val="20"/>
          <w:szCs w:val="20"/>
        </w:rPr>
        <w:t xml:space="preserve">.  Email </w:t>
      </w:r>
      <w:hyperlink r:id="rId6" w:history="1">
        <w:r w:rsidR="007902FC" w:rsidRPr="00CE1214">
          <w:rPr>
            <w:rStyle w:val="Hyperlink"/>
            <w:rFonts w:ascii="Arial" w:hAnsi="Arial" w:cs="Arial"/>
            <w:sz w:val="20"/>
            <w:szCs w:val="20"/>
          </w:rPr>
          <w:t>Beth@FAHCS.us</w:t>
        </w:r>
      </w:hyperlink>
      <w:r w:rsidR="007902FC" w:rsidRPr="00CE1214">
        <w:rPr>
          <w:rFonts w:ascii="Arial" w:hAnsi="Arial" w:cs="Arial"/>
          <w:color w:val="000000"/>
          <w:sz w:val="20"/>
          <w:szCs w:val="20"/>
        </w:rPr>
        <w:t xml:space="preserve"> for member discount code – 2021 dues must be current.</w:t>
      </w:r>
    </w:p>
    <w:p w14:paraId="63CEA855" w14:textId="77777777" w:rsidR="00864203" w:rsidRDefault="00864203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01526B1" w14:textId="309BCB2F" w:rsidR="00034FA8" w:rsidRPr="00CE1214" w:rsidRDefault="00034FA8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1214">
        <w:rPr>
          <w:rFonts w:ascii="Arial" w:hAnsi="Arial" w:cs="Arial"/>
          <w:b/>
          <w:bCs/>
          <w:sz w:val="20"/>
          <w:szCs w:val="20"/>
        </w:rPr>
        <w:t>Reimbursement</w:t>
      </w:r>
      <w:r w:rsidR="00B00716" w:rsidRPr="00CE1214">
        <w:rPr>
          <w:rFonts w:ascii="Arial" w:hAnsi="Arial" w:cs="Arial"/>
          <w:b/>
          <w:bCs/>
          <w:sz w:val="20"/>
          <w:szCs w:val="20"/>
        </w:rPr>
        <w:t xml:space="preserve"> Track</w:t>
      </w:r>
    </w:p>
    <w:p w14:paraId="62C83AD9" w14:textId="77777777" w:rsidR="00890833" w:rsidRPr="00CE1214" w:rsidRDefault="00890833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67A241A" w14:textId="56636BB2" w:rsidR="00034FA8" w:rsidRPr="00CE1214" w:rsidRDefault="00034FA8" w:rsidP="00034FA8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</w:rPr>
        <w:t>COVID-19 Policy Changes – What is Temporary and What is Here to Stay</w:t>
      </w:r>
      <w:r w:rsidRPr="00CE121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E1214">
        <w:rPr>
          <w:rFonts w:ascii="Arial" w:eastAsia="Times New Roman" w:hAnsi="Arial" w:cs="Arial"/>
          <w:sz w:val="20"/>
          <w:szCs w:val="20"/>
        </w:rPr>
        <w:t xml:space="preserve">Craig Douglas, Ronda </w:t>
      </w:r>
      <w:proofErr w:type="spellStart"/>
      <w:r w:rsidRPr="00CE1214">
        <w:rPr>
          <w:rFonts w:ascii="Arial" w:eastAsia="Times New Roman" w:hAnsi="Arial" w:cs="Arial"/>
          <w:sz w:val="20"/>
          <w:szCs w:val="20"/>
        </w:rPr>
        <w:t>Buhrmester</w:t>
      </w:r>
      <w:proofErr w:type="spellEnd"/>
      <w:r w:rsidRPr="00CE1214">
        <w:rPr>
          <w:rFonts w:ascii="Arial" w:eastAsia="Times New Roman" w:hAnsi="Arial" w:cs="Arial"/>
          <w:sz w:val="20"/>
          <w:szCs w:val="20"/>
        </w:rPr>
        <w:t xml:space="preserve">, Dan </w:t>
      </w:r>
      <w:proofErr w:type="spellStart"/>
      <w:r w:rsidRPr="00CE1214">
        <w:rPr>
          <w:rFonts w:ascii="Arial" w:eastAsia="Times New Roman" w:hAnsi="Arial" w:cs="Arial"/>
          <w:sz w:val="20"/>
          <w:szCs w:val="20"/>
        </w:rPr>
        <w:t>Fedor</w:t>
      </w:r>
      <w:proofErr w:type="spellEnd"/>
      <w:r w:rsidRPr="00CE1214">
        <w:rPr>
          <w:rFonts w:ascii="Arial" w:eastAsia="Times New Roman" w:hAnsi="Arial" w:cs="Arial"/>
          <w:sz w:val="20"/>
          <w:szCs w:val="20"/>
        </w:rPr>
        <w:t>, VGM</w:t>
      </w:r>
    </w:p>
    <w:p w14:paraId="06C7BE15" w14:textId="231FD9AF" w:rsidR="00034FA8" w:rsidRPr="00CE1214" w:rsidRDefault="00034FA8" w:rsidP="00034FA8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Intake and Documentation: The Key to Positive Cash Flow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Sarah Hannah, ECS North</w:t>
      </w:r>
    </w:p>
    <w:p w14:paraId="37D3EDCB" w14:textId="06B966AB" w:rsidR="00034FA8" w:rsidRPr="00CE1214" w:rsidRDefault="00034FA8" w:rsidP="00034FA8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Patient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C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ollection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trategies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hat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W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ork, and the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R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esults that </w:t>
      </w:r>
      <w:r w:rsidR="00843BA5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P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rove it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Jennifer Leon, Brightree</w:t>
      </w:r>
    </w:p>
    <w:p w14:paraId="58564722" w14:textId="06B9F7DF" w:rsidR="00034FA8" w:rsidRPr="00CE1214" w:rsidRDefault="00034FA8" w:rsidP="00034FA8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Start Gaining Traction with Commercial Payers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Sarah Hannah, ECS North</w:t>
      </w:r>
    </w:p>
    <w:p w14:paraId="38FB6EB4" w14:textId="77777777" w:rsidR="00BE08C4" w:rsidRPr="00CE1214" w:rsidRDefault="00BE08C4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0F3BAA6" w14:textId="068BB716" w:rsidR="00034FA8" w:rsidRPr="00CE1214" w:rsidRDefault="00034FA8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1214">
        <w:rPr>
          <w:rFonts w:ascii="Arial" w:hAnsi="Arial" w:cs="Arial"/>
          <w:b/>
          <w:bCs/>
          <w:sz w:val="20"/>
          <w:szCs w:val="20"/>
        </w:rPr>
        <w:t>Respiratory</w:t>
      </w:r>
      <w:r w:rsidR="005341CE" w:rsidRPr="00CE1214">
        <w:rPr>
          <w:rFonts w:ascii="Arial" w:hAnsi="Arial" w:cs="Arial"/>
          <w:b/>
          <w:bCs/>
          <w:sz w:val="20"/>
          <w:szCs w:val="20"/>
        </w:rPr>
        <w:t xml:space="preserve"> Track</w:t>
      </w:r>
    </w:p>
    <w:p w14:paraId="627FDB68" w14:textId="77777777" w:rsidR="00890833" w:rsidRPr="00CE1214" w:rsidRDefault="00890833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14C16DF" w14:textId="46047E90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COPD/Chronic Respiratory Failure Overlap/Wrap-around Syndrome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Ron Hosp, Breathe, LLC</w:t>
      </w:r>
    </w:p>
    <w:p w14:paraId="72BA8A1D" w14:textId="77777777" w:rsidR="00180D53" w:rsidRPr="00CE1214" w:rsidRDefault="00180D53" w:rsidP="00180D5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163510" w14:textId="78CE5E6C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Maximizing Profitability with Your Complex Respiratory Program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Ronda </w:t>
      </w:r>
      <w:proofErr w:type="spellStart"/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Buhrmester</w:t>
      </w:r>
      <w:proofErr w:type="spellEnd"/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, &amp; Dave Lyman VGM</w:t>
      </w:r>
    </w:p>
    <w:p w14:paraId="45B0787A" w14:textId="77777777" w:rsidR="00180D53" w:rsidRPr="00CE1214" w:rsidRDefault="00180D53" w:rsidP="00180D5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1FE9A2B" w14:textId="489CAFF7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Oxygen Patients on the Move: OCDs, POCs, and Device Best Practices</w:t>
      </w:r>
      <w:r w:rsidR="00180D53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Nick Macmillan, Ventec Life Systems</w:t>
      </w:r>
    </w:p>
    <w:p w14:paraId="1BF38FD0" w14:textId="77777777" w:rsidR="00180D53" w:rsidRPr="00CE1214" w:rsidRDefault="00180D53" w:rsidP="00180D5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F6D1C57" w14:textId="25F13828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Clinical Application of EtCO2 monitoring for Non-invasive Ventilation Therapy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Timothy Quinn, Masimo</w:t>
      </w:r>
    </w:p>
    <w:p w14:paraId="090DE0D6" w14:textId="77777777" w:rsidR="006101A8" w:rsidRPr="00CE1214" w:rsidRDefault="006101A8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9E76927" w14:textId="77777777" w:rsidR="00864203" w:rsidRDefault="00864203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7118DA" w14:textId="0A1CB20E" w:rsidR="00034FA8" w:rsidRPr="00CE1214" w:rsidRDefault="00034FA8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1214">
        <w:rPr>
          <w:rFonts w:ascii="Arial" w:hAnsi="Arial" w:cs="Arial"/>
          <w:b/>
          <w:bCs/>
          <w:sz w:val="20"/>
          <w:szCs w:val="20"/>
        </w:rPr>
        <w:t>R</w:t>
      </w:r>
      <w:r w:rsidR="00890833" w:rsidRPr="00CE1214">
        <w:rPr>
          <w:rFonts w:ascii="Arial" w:hAnsi="Arial" w:cs="Arial"/>
          <w:b/>
          <w:bCs/>
          <w:sz w:val="20"/>
          <w:szCs w:val="20"/>
        </w:rPr>
        <w:t>ehab</w:t>
      </w:r>
      <w:r w:rsidRPr="00CE1214">
        <w:rPr>
          <w:rFonts w:ascii="Arial" w:hAnsi="Arial" w:cs="Arial"/>
          <w:b/>
          <w:bCs/>
          <w:sz w:val="20"/>
          <w:szCs w:val="20"/>
        </w:rPr>
        <w:t>/CRT</w:t>
      </w:r>
      <w:r w:rsidR="00890833" w:rsidRPr="00CE1214">
        <w:rPr>
          <w:rFonts w:ascii="Arial" w:hAnsi="Arial" w:cs="Arial"/>
          <w:b/>
          <w:bCs/>
          <w:sz w:val="20"/>
          <w:szCs w:val="20"/>
        </w:rPr>
        <w:t xml:space="preserve"> Track</w:t>
      </w:r>
    </w:p>
    <w:p w14:paraId="51BC351E" w14:textId="77777777" w:rsidR="00890833" w:rsidRPr="00CE1214" w:rsidRDefault="00890833" w:rsidP="00034FA8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9D32548" w14:textId="11D62B33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From the Inside Out: Exploring Clinical Applications of Wheelchair Cushion</w:t>
      </w:r>
      <w:r w:rsidR="00BE08C4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Ma</w:t>
      </w: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terial</w:t>
      </w:r>
      <w:r w:rsidR="00180D53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Angie Kiger, Sunrise Medical</w:t>
      </w:r>
    </w:p>
    <w:p w14:paraId="77CC3A2C" w14:textId="77777777" w:rsidR="00180D53" w:rsidRPr="00CE1214" w:rsidRDefault="00180D53" w:rsidP="00180D5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44A1CF1" w14:textId="5B091587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Documenting the Medical Need to Operate Power Seat Functions through the Joystick</w:t>
      </w:r>
      <w:r w:rsidR="00BE08C4"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Julie Piriano, Pride Mobility</w:t>
      </w:r>
    </w:p>
    <w:p w14:paraId="74180F59" w14:textId="77777777" w:rsidR="00180D53" w:rsidRPr="00CE1214" w:rsidRDefault="00180D53" w:rsidP="00180D5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413880" w14:textId="1F5581C1" w:rsidR="00180D53" w:rsidRPr="00CE1214" w:rsidRDefault="00034FA8" w:rsidP="006F3DBB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</w:rPr>
        <w:t>Wheelchair Repairs - The Good, The Bad and The Ugly</w:t>
      </w:r>
      <w:r w:rsidR="0062687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E1214">
        <w:rPr>
          <w:rFonts w:ascii="Arial" w:eastAsia="Times New Roman" w:hAnsi="Arial" w:cs="Arial"/>
          <w:sz w:val="20"/>
          <w:szCs w:val="20"/>
        </w:rPr>
        <w:t xml:space="preserve">Dan </w:t>
      </w:r>
      <w:proofErr w:type="spellStart"/>
      <w:r w:rsidRPr="00CE1214">
        <w:rPr>
          <w:rFonts w:ascii="Arial" w:eastAsia="Times New Roman" w:hAnsi="Arial" w:cs="Arial"/>
          <w:sz w:val="20"/>
          <w:szCs w:val="20"/>
        </w:rPr>
        <w:t>Fedor</w:t>
      </w:r>
      <w:proofErr w:type="spellEnd"/>
      <w:r w:rsidRPr="00CE1214">
        <w:rPr>
          <w:rFonts w:ascii="Arial" w:eastAsia="Times New Roman" w:hAnsi="Arial" w:cs="Arial"/>
          <w:sz w:val="20"/>
          <w:szCs w:val="20"/>
        </w:rPr>
        <w:t>, VGM</w:t>
      </w:r>
      <w:r w:rsidR="00CE1214">
        <w:rPr>
          <w:rFonts w:ascii="Arial" w:eastAsia="Times New Roman" w:hAnsi="Arial" w:cs="Arial"/>
          <w:sz w:val="20"/>
          <w:szCs w:val="20"/>
        </w:rPr>
        <w:t xml:space="preserve"> </w:t>
      </w:r>
      <w:r w:rsidRPr="00CE1214">
        <w:rPr>
          <w:rFonts w:ascii="Arial" w:eastAsia="Times New Roman" w:hAnsi="Arial" w:cs="Arial"/>
          <w:sz w:val="20"/>
          <w:szCs w:val="20"/>
        </w:rPr>
        <w:t xml:space="preserve">&amp; Jim Stephenson, </w:t>
      </w:r>
      <w:proofErr w:type="spellStart"/>
      <w:r w:rsidRPr="00CE1214">
        <w:rPr>
          <w:rFonts w:ascii="Arial" w:eastAsia="Times New Roman" w:hAnsi="Arial" w:cs="Arial"/>
          <w:sz w:val="20"/>
          <w:szCs w:val="20"/>
        </w:rPr>
        <w:t>Permobi</w:t>
      </w:r>
      <w:r w:rsidR="00180D53" w:rsidRPr="00CE1214">
        <w:rPr>
          <w:rFonts w:ascii="Arial" w:eastAsia="Times New Roman" w:hAnsi="Arial" w:cs="Arial"/>
          <w:sz w:val="20"/>
          <w:szCs w:val="20"/>
        </w:rPr>
        <w:t>l</w:t>
      </w:r>
      <w:proofErr w:type="spellEnd"/>
    </w:p>
    <w:p w14:paraId="43E82480" w14:textId="611836CE" w:rsidR="00034FA8" w:rsidRPr="00CE1214" w:rsidRDefault="00034FA8" w:rsidP="00890833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Tilting the Odds: Manual Tilt to Improve Rehabilitation Outcomes</w:t>
      </w:r>
      <w:r w:rsidR="0062687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CE1214">
        <w:rPr>
          <w:rFonts w:ascii="Arial" w:eastAsia="Times New Roman" w:hAnsi="Arial" w:cs="Arial"/>
          <w:sz w:val="20"/>
          <w:szCs w:val="20"/>
          <w:shd w:val="clear" w:color="auto" w:fill="FFFFFF"/>
        </w:rPr>
        <w:t>Debbie Pucci, KI Mobility</w:t>
      </w:r>
    </w:p>
    <w:p w14:paraId="5EE729FA" w14:textId="77777777" w:rsidR="00890833" w:rsidRPr="00CE1214" w:rsidRDefault="00890833" w:rsidP="00034FA8">
      <w:pPr>
        <w:shd w:val="clear" w:color="auto" w:fill="FFFFFF"/>
        <w:spacing w:after="24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BCD1226" w14:textId="654239B4" w:rsidR="00034FA8" w:rsidRPr="00CE1214" w:rsidRDefault="00034FA8" w:rsidP="00034FA8">
      <w:pPr>
        <w:shd w:val="clear" w:color="auto" w:fill="FFFFFF"/>
        <w:spacing w:after="24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1214">
        <w:rPr>
          <w:rFonts w:ascii="Arial" w:hAnsi="Arial" w:cs="Arial"/>
          <w:b/>
          <w:bCs/>
          <w:sz w:val="20"/>
          <w:szCs w:val="20"/>
        </w:rPr>
        <w:t>General/HR</w:t>
      </w:r>
      <w:r w:rsidR="00890833" w:rsidRPr="00CE1214">
        <w:rPr>
          <w:rFonts w:ascii="Arial" w:hAnsi="Arial" w:cs="Arial"/>
          <w:b/>
          <w:bCs/>
          <w:sz w:val="20"/>
          <w:szCs w:val="20"/>
        </w:rPr>
        <w:t xml:space="preserve"> Track</w:t>
      </w:r>
    </w:p>
    <w:p w14:paraId="453E18DE" w14:textId="068AB6D2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</w:rPr>
        <w:t>Leadership and Data – A Hand in Hand Approach</w:t>
      </w:r>
      <w:r w:rsidR="00890833" w:rsidRPr="00CE121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E1214">
        <w:rPr>
          <w:rFonts w:ascii="Arial" w:eastAsia="Times New Roman" w:hAnsi="Arial" w:cs="Arial"/>
          <w:sz w:val="20"/>
          <w:szCs w:val="20"/>
        </w:rPr>
        <w:t>Miriam Lieber</w:t>
      </w:r>
    </w:p>
    <w:p w14:paraId="7A4CC70D" w14:textId="0E37B9C6" w:rsidR="00034FA8" w:rsidRPr="00CE1214" w:rsidRDefault="00034FA8" w:rsidP="00034FA8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</w:rPr>
        <w:t>Embracing Patient Engagement</w:t>
      </w:r>
      <w:r w:rsidR="006101A8" w:rsidRPr="00CE121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E1214">
        <w:rPr>
          <w:rFonts w:ascii="Arial" w:eastAsia="Times New Roman" w:hAnsi="Arial" w:cs="Arial"/>
          <w:sz w:val="20"/>
          <w:szCs w:val="20"/>
        </w:rPr>
        <w:t xml:space="preserve">Cheryl Henninger, Director, Population Health and Community Services for Gerould's Professional Pharmacy Inc/Community Cares Health Solutions </w:t>
      </w:r>
    </w:p>
    <w:p w14:paraId="0ADE9682" w14:textId="77777777" w:rsidR="006101A8" w:rsidRPr="00CE1214" w:rsidRDefault="006101A8" w:rsidP="006101A8">
      <w:pPr>
        <w:pStyle w:val="NoSpacing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14:paraId="6E7D25B8" w14:textId="71F3686F" w:rsidR="00034FA8" w:rsidRPr="00CE1214" w:rsidRDefault="00034FA8" w:rsidP="00034FA8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sz w:val="20"/>
          <w:szCs w:val="20"/>
        </w:rPr>
        <w:t>Managing your Business’s Financial Health During Tough Times</w:t>
      </w:r>
      <w:r w:rsidR="00C739EF" w:rsidRPr="00CE121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E1214">
        <w:rPr>
          <w:rFonts w:ascii="Arial" w:eastAsia="Times New Roman" w:hAnsi="Arial" w:cs="Arial"/>
          <w:sz w:val="20"/>
          <w:szCs w:val="20"/>
        </w:rPr>
        <w:t xml:space="preserve">Jim Nygren, CFO for VGM Group, Inc. </w:t>
      </w:r>
    </w:p>
    <w:p w14:paraId="7E88274E" w14:textId="77777777" w:rsidR="006101A8" w:rsidRPr="00CE1214" w:rsidRDefault="006101A8" w:rsidP="006101A8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521D088A" w14:textId="12378021" w:rsidR="00034FA8" w:rsidRPr="00CE1214" w:rsidRDefault="00034FA8" w:rsidP="00034FA8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45505E"/>
          <w:sz w:val="20"/>
          <w:szCs w:val="20"/>
        </w:rPr>
      </w:pPr>
      <w:r w:rsidRPr="00CE1214">
        <w:rPr>
          <w:rFonts w:ascii="Arial" w:eastAsia="Times New Roman" w:hAnsi="Arial" w:cs="Arial"/>
          <w:b/>
          <w:bCs/>
          <w:color w:val="000000"/>
          <w:sz w:val="20"/>
          <w:szCs w:val="20"/>
        </w:rPr>
        <w:t>Human Capital: The new landscape of HR</w:t>
      </w:r>
      <w:r w:rsidR="00C739EF" w:rsidRPr="00CE121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C739EF" w:rsidRPr="00CE1214">
        <w:rPr>
          <w:rFonts w:ascii="Arial" w:eastAsia="Times New Roman" w:hAnsi="Arial" w:cs="Arial"/>
          <w:color w:val="000000"/>
          <w:sz w:val="20"/>
          <w:szCs w:val="20"/>
        </w:rPr>
        <w:t>VGM HR Team</w:t>
      </w:r>
    </w:p>
    <w:p w14:paraId="0086A772" w14:textId="0056DE06" w:rsidR="000C2090" w:rsidRPr="00CE1214" w:rsidRDefault="000C2090" w:rsidP="000C209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E1214">
        <w:rPr>
          <w:rFonts w:ascii="Arial" w:hAnsi="Arial" w:cs="Arial"/>
          <w:color w:val="000000"/>
          <w:sz w:val="20"/>
          <w:szCs w:val="20"/>
        </w:rPr>
        <w:t>All are available to watch when you wish with no additional fees</w:t>
      </w:r>
      <w:r w:rsidR="00BD0C51" w:rsidRPr="00CE1214">
        <w:rPr>
          <w:rFonts w:ascii="Arial" w:hAnsi="Arial" w:cs="Arial"/>
          <w:color w:val="000000"/>
          <w:sz w:val="20"/>
          <w:szCs w:val="20"/>
        </w:rPr>
        <w:t xml:space="preserve"> - $179 per person with $50 OFF</w:t>
      </w:r>
      <w:r w:rsidR="00CF0579" w:rsidRPr="00CE1214">
        <w:rPr>
          <w:rFonts w:ascii="Arial" w:hAnsi="Arial" w:cs="Arial"/>
          <w:color w:val="000000"/>
          <w:sz w:val="20"/>
          <w:szCs w:val="20"/>
        </w:rPr>
        <w:t xml:space="preserve"> for MEMBERS -</w:t>
      </w:r>
      <w:r w:rsidR="00BD0C51" w:rsidRPr="00CE1214">
        <w:rPr>
          <w:rFonts w:ascii="Arial" w:hAnsi="Arial" w:cs="Arial"/>
          <w:color w:val="000000"/>
          <w:sz w:val="20"/>
          <w:szCs w:val="20"/>
        </w:rPr>
        <w:t xml:space="preserve"> per person</w:t>
      </w:r>
      <w:r w:rsidR="00CF0579" w:rsidRPr="00CE1214">
        <w:rPr>
          <w:rFonts w:ascii="Arial" w:hAnsi="Arial" w:cs="Arial"/>
          <w:color w:val="000000"/>
          <w:sz w:val="20"/>
          <w:szCs w:val="20"/>
        </w:rPr>
        <w:t xml:space="preserve"> and are open for ONE MONTH</w:t>
      </w:r>
      <w:r w:rsidRPr="00CE1214">
        <w:rPr>
          <w:rFonts w:ascii="Arial" w:hAnsi="Arial" w:cs="Arial"/>
          <w:color w:val="000000"/>
          <w:sz w:val="20"/>
          <w:szCs w:val="20"/>
        </w:rPr>
        <w:t>.</w:t>
      </w:r>
    </w:p>
    <w:p w14:paraId="48D2740A" w14:textId="381B1412" w:rsidR="000C2090" w:rsidRPr="00CE1214" w:rsidRDefault="00CF0579" w:rsidP="000C209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E1214">
        <w:rPr>
          <w:rFonts w:ascii="Arial" w:hAnsi="Arial" w:cs="Arial"/>
          <w:color w:val="000000"/>
          <w:sz w:val="20"/>
          <w:szCs w:val="20"/>
        </w:rPr>
        <w:t>When you register, c</w:t>
      </w:r>
      <w:r w:rsidR="000C2090" w:rsidRPr="00CE1214">
        <w:rPr>
          <w:rFonts w:ascii="Arial" w:hAnsi="Arial" w:cs="Arial"/>
          <w:color w:val="000000"/>
          <w:sz w:val="20"/>
          <w:szCs w:val="20"/>
        </w:rPr>
        <w:t xml:space="preserve">hoose the ones you need, and schedule times right now to assure that you </w:t>
      </w:r>
      <w:proofErr w:type="gramStart"/>
      <w:r w:rsidR="000C2090" w:rsidRPr="00CE1214">
        <w:rPr>
          <w:rFonts w:ascii="Arial" w:hAnsi="Arial" w:cs="Arial"/>
          <w:color w:val="000000"/>
          <w:sz w:val="20"/>
          <w:szCs w:val="20"/>
        </w:rPr>
        <w:t>don’t</w:t>
      </w:r>
      <w:proofErr w:type="gramEnd"/>
      <w:r w:rsidR="000C2090" w:rsidRPr="00CE1214">
        <w:rPr>
          <w:rFonts w:ascii="Arial" w:hAnsi="Arial" w:cs="Arial"/>
          <w:color w:val="000000"/>
          <w:sz w:val="20"/>
          <w:szCs w:val="20"/>
        </w:rPr>
        <w:t xml:space="preserve"> miss anything. If you need CEUs in any of the available categories, schedule them first, to be sure you finish all you need in the allotted time.</w:t>
      </w:r>
    </w:p>
    <w:p w14:paraId="1FBF064C" w14:textId="77777777" w:rsidR="002675CE" w:rsidRPr="00890833" w:rsidRDefault="002675CE">
      <w:pPr>
        <w:rPr>
          <w:rFonts w:ascii="Arial" w:hAnsi="Arial" w:cs="Arial"/>
        </w:rPr>
      </w:pPr>
    </w:p>
    <w:sectPr w:rsidR="002675CE" w:rsidRPr="00890833" w:rsidSect="000D4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A6B53"/>
    <w:multiLevelType w:val="multilevel"/>
    <w:tmpl w:val="513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D1177"/>
    <w:multiLevelType w:val="hybridMultilevel"/>
    <w:tmpl w:val="4066E588"/>
    <w:lvl w:ilvl="0" w:tplc="F8F2F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A8"/>
    <w:rsid w:val="00034FA8"/>
    <w:rsid w:val="000C2090"/>
    <w:rsid w:val="000D44A0"/>
    <w:rsid w:val="00180D53"/>
    <w:rsid w:val="002675CE"/>
    <w:rsid w:val="0049623D"/>
    <w:rsid w:val="005341CE"/>
    <w:rsid w:val="006101A8"/>
    <w:rsid w:val="00626875"/>
    <w:rsid w:val="007902FC"/>
    <w:rsid w:val="00843BA5"/>
    <w:rsid w:val="00864203"/>
    <w:rsid w:val="00890833"/>
    <w:rsid w:val="00A66FA7"/>
    <w:rsid w:val="00AD5116"/>
    <w:rsid w:val="00B00716"/>
    <w:rsid w:val="00B31503"/>
    <w:rsid w:val="00BD0C51"/>
    <w:rsid w:val="00BE08C4"/>
    <w:rsid w:val="00C739EF"/>
    <w:rsid w:val="00CE1214"/>
    <w:rsid w:val="00CF0579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DFEB"/>
  <w15:chartTrackingRefBased/>
  <w15:docId w15:val="{B53A341C-FAF5-4574-B2C9-9D21F88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FA8"/>
  </w:style>
  <w:style w:type="paragraph" w:styleId="ListParagraph">
    <w:name w:val="List Paragraph"/>
    <w:basedOn w:val="Normal"/>
    <w:uiPriority w:val="34"/>
    <w:qFormat/>
    <w:rsid w:val="00034FA8"/>
    <w:pPr>
      <w:ind w:left="720"/>
    </w:pPr>
  </w:style>
  <w:style w:type="character" w:styleId="Hyperlink">
    <w:name w:val="Hyperlink"/>
    <w:basedOn w:val="DefaultParagraphFont"/>
    <w:uiPriority w:val="99"/>
    <w:unhideWhenUsed/>
    <w:rsid w:val="000C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2090"/>
    <w:pPr>
      <w:spacing w:before="240"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79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@FAHCS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bowen</dc:creator>
  <cp:keywords/>
  <dc:description/>
  <cp:lastModifiedBy>beth bowen</cp:lastModifiedBy>
  <cp:revision>23</cp:revision>
  <dcterms:created xsi:type="dcterms:W3CDTF">2020-12-15T20:54:00Z</dcterms:created>
  <dcterms:modified xsi:type="dcterms:W3CDTF">2020-12-15T21:47:00Z</dcterms:modified>
</cp:coreProperties>
</file>